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rFonts w:ascii="Montserrat" w:cs="Montserrat" w:eastAsia="Montserrat" w:hAnsi="Montserrat"/>
          <w:b w:val="1"/>
          <w:i w:val="1"/>
          <w:color w:val="323e4f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323e4f"/>
          <w:sz w:val="48"/>
          <w:szCs w:val="48"/>
          <w:rtl w:val="0"/>
        </w:rPr>
        <w:t xml:space="preserve">IRRAWANG PUBLIC SCHOOL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121285</wp:posOffset>
            </wp:positionH>
            <wp:positionV relativeFrom="paragraph">
              <wp:posOffset>305435</wp:posOffset>
            </wp:positionV>
            <wp:extent cx="806450" cy="806450"/>
            <wp:effectExtent b="0" l="0" r="0" t="0"/>
            <wp:wrapNone/>
            <wp:docPr descr="A blue and yellow logo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blue and yellow 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323e4f"/>
          <w:sz w:val="48"/>
          <w:szCs w:val="48"/>
          <w:rtl w:val="0"/>
        </w:rPr>
        <w:t xml:space="preserve">PRESCHOOL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Montserrat" w:cs="Montserrat" w:eastAsia="Montserrat" w:hAnsi="Montserrat"/>
          <w:b w:val="1"/>
          <w:color w:val="1c428a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428a"/>
          <w:sz w:val="32"/>
          <w:szCs w:val="32"/>
          <w:rtl w:val="0"/>
        </w:rPr>
        <w:t xml:space="preserve">Payment of Fees Procedure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30" w:tblpY="1"/>
        <w:tblW w:w="10485.0" w:type="dxa"/>
        <w:jc w:val="left"/>
        <w:tblBorders>
          <w:top w:color="000000" w:space="0" w:sz="4" w:val="single"/>
          <w:left w:color="bfbfbf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495"/>
        <w:gridCol w:w="3495"/>
        <w:gridCol w:w="3495"/>
        <w:tblGridChange w:id="0">
          <w:tblGrid>
            <w:gridCol w:w="3495"/>
            <w:gridCol w:w="3495"/>
            <w:gridCol w:w="3495"/>
          </w:tblGrid>
        </w:tblGridChange>
      </w:tblGrid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National Quality Standard Education and Care Services National Law and National Regulations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Associated department policy, procedure or guideline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Reference document(s) and/or advice from a recognised authority</w:t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NQS: 7.1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Leading and operating department preschool guidelines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widowControl w:val="0"/>
        <w:spacing w:after="0" w:before="240" w:line="360" w:lineRule="auto"/>
        <w:rPr>
          <w:rFonts w:ascii="Montserrat" w:cs="Montserrat" w:eastAsia="Montserrat" w:hAnsi="Montserrat"/>
          <w:b w:val="1"/>
          <w:color w:val="00266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2664"/>
          <w:rtl w:val="0"/>
        </w:rPr>
        <w:t xml:space="preserve">Responsibilities</w:t>
      </w:r>
    </w:p>
    <w:tbl>
      <w:tblPr>
        <w:tblStyle w:val="Table2"/>
        <w:tblW w:w="104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036"/>
        <w:gridCol w:w="8450"/>
        <w:tblGridChange w:id="0">
          <w:tblGrid>
            <w:gridCol w:w="2036"/>
            <w:gridCol w:w="84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principal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The principal as nominated supervisor, educational leader and responsible person holds primary responsibility for the preschool.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The principal is responsible for ensuring: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preschool is compliant with legislative standards related to this procedure at all times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staff involved in the preschool are familiar with and implement this procedure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procedures are current and reviewed as part of a continuous cycle of self- assessment.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These tasks may be delegated to other members of the preschool team, but the responsibility sits with the principal.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Preschool supervisor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preschool supervisor supports the principal in their role and is responsible for leading the review of this procedure through a process of self-assessment and critical reflection. This could include: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analysing complaints, incidents or issues and the implications for updates to this procedure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reflecting on how this procedure is informed by stakeholder feedback and relevant expert authorities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 and discussing ways to engage with families and communities, including how changes are communicated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strategies to induct all staff when procedures are updated to ensure practice is embedded.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Preschool teacher(s) and educator(s)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120" w:before="24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Preschool teachers and educators are responsible for working with the preschool leadership team to ensure: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staff in the preschool and daily practices comply with this procedure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procedure is stored in a way that it is accessible to all staff, families, visitors and volunteers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 are actively involved in the review of this procedure, as required, or at least annually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of this procedure’s review are documented.</w:t>
            </w:r>
          </w:p>
        </w:tc>
      </w:tr>
    </w:tbl>
    <w:p w:rsidR="00000000" w:rsidDel="00000000" w:rsidP="00000000" w:rsidRDefault="00000000" w:rsidRPr="00000000" w14:paraId="00000023">
      <w:pPr>
        <w:keepNext w:val="1"/>
        <w:widowControl w:val="0"/>
        <w:spacing w:after="0" w:before="240" w:line="360" w:lineRule="auto"/>
        <w:rPr>
          <w:rFonts w:ascii="Montserrat" w:cs="Montserrat" w:eastAsia="Montserrat" w:hAnsi="Montserrat"/>
          <w:b w:val="1"/>
          <w:color w:val="00266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2664"/>
          <w:rtl w:val="0"/>
        </w:rPr>
        <w:t xml:space="preserve">Procedure</w:t>
      </w:r>
    </w:p>
    <w:p w:rsidR="00000000" w:rsidDel="00000000" w:rsidP="00000000" w:rsidRDefault="00000000" w:rsidRPr="00000000" w14:paraId="00000024">
      <w:pPr>
        <w:widowControl w:val="0"/>
        <w:spacing w:after="12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Until further notice, no fees will be charged in department preschools.</w:t>
      </w:r>
    </w:p>
    <w:p w:rsidR="00000000" w:rsidDel="00000000" w:rsidP="00000000" w:rsidRDefault="00000000" w:rsidRPr="00000000" w14:paraId="00000025">
      <w:pPr>
        <w:keepNext w:val="1"/>
        <w:widowControl w:val="0"/>
        <w:spacing w:after="0" w:before="240" w:line="360" w:lineRule="auto"/>
        <w:rPr>
          <w:rFonts w:ascii="Montserrat" w:cs="Montserrat" w:eastAsia="Montserrat" w:hAnsi="Montserrat"/>
          <w:b w:val="1"/>
          <w:color w:val="00266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2664"/>
          <w:rtl w:val="0"/>
        </w:rPr>
        <w:t xml:space="preserve">Record of procedure’s review</w:t>
      </w:r>
    </w:p>
    <w:tbl>
      <w:tblPr>
        <w:tblStyle w:val="Table3"/>
        <w:tblW w:w="10474.0" w:type="dxa"/>
        <w:jc w:val="left"/>
        <w:tblLayout w:type="fixed"/>
        <w:tblLook w:val="0400"/>
      </w:tblPr>
      <w:tblGrid>
        <w:gridCol w:w="3565"/>
        <w:gridCol w:w="6909"/>
        <w:tblGridChange w:id="0">
          <w:tblGrid>
            <w:gridCol w:w="3565"/>
            <w:gridCol w:w="690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review and who was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17/12/2020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Hylie McEvoy (Preschool Educator)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Stacy Mathieson (Nominated Supervisor/School Principal)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9/12/2021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Hylie McEvoy (Preschool Teacher)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Michelle Lynch (Pedagogical Leader)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23/11/2022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Michelle Lynch (Pedagogical Leader)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Hylie McEvoy (Preschool Educator)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15/10/23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Michelle Lynch (Pedagogical Leader)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Hylie McEvoy (Preschool Educator)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changes made and reason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15/10/23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-Updated as per Early Learning Leading and Operating Preschool Guidelines vOct2023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 of communication of significant changes to relevant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Email &amp; Acknowledgement Spreadsheet 15/10/23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Email &amp; Acknowledgement Spreadsheet 15/10/23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Sentral Parent Portal 15/10/23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note, parents must be notified at least 14 days prior to a change that may have a significant impact on their service’s provision of education and care or a family’s ability to use the service.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284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before="10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pPr>
        <w:keepNext w:val="0"/>
        <w:keepLines w:val="0"/>
        <w:pageBreakBefore w:val="0"/>
        <w:widowControl w:val="0"/>
        <w:spacing w:after="0" w:before="0" w:line="360" w:lineRule="auto"/>
      </w:pPr>
      <w:rPr>
        <w:rFonts w:ascii="Arial" w:cs="Arial" w:eastAsia="Arial" w:hAnsi="Arial"/>
        <w:sz w:val="22"/>
        <w:szCs w:val="22"/>
      </w:rPr>
      <w:tcPr>
        <w:shd w:fill="ffffff" w:val="clear"/>
      </w:tcPr>
    </w:tblStylePr>
    <w:tblStylePr w:type="band1Vert">
      <w:pPr>
        <w:spacing w:after="0" w:before="0" w:line="360" w:lineRule="auto"/>
      </w:pPr>
      <w:rPr>
        <w:rFonts w:ascii="Arial" w:cs="Arial" w:eastAsia="Arial" w:hAnsi="Arial"/>
        <w:sz w:val="22"/>
        <w:szCs w:val="22"/>
      </w:rPr>
    </w:tblStylePr>
    <w:tblStylePr w:type="band2Horz">
      <w:pPr>
        <w:keepNext w:val="0"/>
        <w:keepLines w:val="0"/>
        <w:pageBreakBefore w:val="0"/>
        <w:widowControl w:val="0"/>
        <w:spacing w:after="0" w:before="0" w:line="360" w:lineRule="auto"/>
      </w:pPr>
      <w:rPr>
        <w:rFonts w:ascii="Arial" w:cs="Arial" w:eastAsia="Arial" w:hAnsi="Arial"/>
        <w:sz w:val="22"/>
        <w:szCs w:val="22"/>
      </w:rPr>
      <w:tcPr>
        <w:shd w:fill="ebebeb" w:val="clear"/>
      </w:tcPr>
    </w:tblStylePr>
    <w:tblStylePr w:type="band2Vert">
      <w:pPr>
        <w:spacing w:after="0" w:before="0" w:line="360" w:lineRule="auto"/>
      </w:pPr>
      <w:rPr>
        <w:rFonts w:ascii="Arial" w:cs="Arial" w:eastAsia="Arial" w:hAnsi="Arial"/>
        <w:sz w:val="22"/>
        <w:szCs w:val="22"/>
      </w:rPr>
    </w:tblStylePr>
    <w:tblStylePr w:type="firstCol">
      <w:pPr>
        <w:spacing w:after="0" w:before="0" w:line="360" w:lineRule="auto"/>
      </w:pPr>
      <w:rPr>
        <w:rFonts w:ascii="Arial" w:cs="Arial" w:eastAsia="Arial" w:hAnsi="Arial"/>
        <w:b w:val="1"/>
        <w:sz w:val="22"/>
        <w:szCs w:val="22"/>
      </w:rPr>
    </w:tblStylePr>
    <w:tblStylePr w:type="firstRow">
      <w:pPr>
        <w:keepNext w:val="0"/>
        <w:keepLines w:val="0"/>
        <w:pageBreakBefore w:val="0"/>
        <w:widowControl w:val="0"/>
        <w:spacing w:after="0" w:before="0" w:line="360" w:lineRule="auto"/>
        <w:jc w:val="left"/>
      </w:pPr>
      <w:rPr>
        <w:rFonts w:ascii="Arial" w:cs="Arial" w:eastAsia="Arial" w:hAnsi="Arial"/>
        <w:b w:val="1"/>
        <w:sz w:val="22"/>
        <w:szCs w:val="22"/>
      </w:rPr>
      <w:tcPr>
        <w:tcBorders>
          <w:bottom w:color="000000" w:space="0" w:sz="0" w:val="nil"/>
          <w:insideH w:color="000000" w:space="0" w:sz="0" w:val="nil"/>
          <w:insideV w:color="000000" w:space="0" w:sz="0" w:val="nil"/>
        </w:tcBorders>
        <w:shd w:fill="002664" w:val="clear"/>
      </w:tcPr>
    </w:tblStylePr>
    <w:tblStylePr w:type="lastCol">
      <w:pPr>
        <w:spacing w:after="0" w:before="0" w:line="360" w:lineRule="auto"/>
      </w:pPr>
      <w:rPr>
        <w:rFonts w:ascii="Arial" w:cs="Arial" w:eastAsia="Arial" w:hAnsi="Arial"/>
        <w:sz w:val="22"/>
        <w:szCs w:val="22"/>
      </w:rPr>
    </w:tblStylePr>
    <w:tblStylePr w:type="lastRow">
      <w:pPr>
        <w:keepNext w:val="0"/>
        <w:keepLines w:val="0"/>
        <w:pageBreakBefore w:val="0"/>
        <w:widowControl w:val="0"/>
        <w:spacing w:after="0" w:before="0" w:line="360" w:lineRule="auto"/>
      </w:pPr>
      <w:rPr>
        <w:rFonts w:ascii="Arial" w:cs="Arial" w:eastAsia="Arial" w:hAnsi="Arial"/>
        <w:sz w:val="22"/>
        <w:szCs w:val="22"/>
      </w:rPr>
      <w:tcPr>
        <w:tcMar>
          <w:top w:w="113.0" w:type="dxa"/>
          <w:left w:w="0.0" w:type="dxa"/>
          <w:bottom w:w="57.0" w:type="dxa"/>
          <w:right w:w="0.0" w:type="dxa"/>
        </w:tcMar>
      </w:tcPr>
    </w:tblStylePr>
  </w:style>
  <w:style w:type="table" w:styleId="Table2">
    <w:basedOn w:val="TableNormal"/>
    <w:pPr>
      <w:widowControl w:val="0"/>
      <w:spacing w:after="0" w:before="10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/ufF1ZsLoYTrwygVZLHe1gzmA==">CgMxLjA4AHIhMTE3N2piNk1tQVJodFdjcnE4bkVBVUMxU3FiQTFISzFR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